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keepLines/>
        <w:keepNext/>
        <w:spacing w:before="120" w:after="48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outlineLvl w:val="0"/>
      </w:pPr>
      <w:r/>
      <w:bookmarkStart w:id="1" w:name="_Toc141974448"/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Форма обоснования НМЦ</w:t>
      </w:r>
      <w:bookmarkEnd w:id="1"/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34" w:hanging="11"/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Обоснование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br/>
        <w:t xml:space="preserve">начальной (максимальной) цены договора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br/>
        <w:t xml:space="preserve">/ цены единицы товара, работы, услуги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rPr>
          <w:rFonts w:ascii="Times New Roman" w:hAnsi="Times New Roman" w:eastAsia="Times New Roman" w:cs="Times New Roman"/>
          <w:i/>
          <w:sz w:val="28"/>
          <w:szCs w:val="20"/>
          <w:highlight w:val="yellow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0"/>
          <w:highlight w:val="yellow"/>
          <w:lang w:eastAsia="ru-RU"/>
        </w:rPr>
      </w:r>
      <w:r>
        <w:rPr>
          <w:rFonts w:ascii="Times New Roman" w:hAnsi="Times New Roman" w:eastAsia="Times New Roman" w:cs="Times New Roman"/>
          <w:i/>
          <w:sz w:val="28"/>
          <w:szCs w:val="20"/>
          <w:highlight w:val="yellow"/>
          <w:lang w:eastAsia="ru-RU"/>
        </w:rPr>
      </w:r>
      <w:r>
        <w:rPr>
          <w:rFonts w:ascii="Times New Roman" w:hAnsi="Times New Roman" w:eastAsia="Times New Roman" w:cs="Times New Roman"/>
          <w:i/>
          <w:sz w:val="28"/>
          <w:szCs w:val="20"/>
          <w:highlight w:val="yellow"/>
          <w:lang w:eastAsia="ru-RU"/>
        </w:rPr>
      </w:r>
    </w:p>
    <w:p>
      <w:pPr>
        <w:numPr>
          <w:ilvl w:val="0"/>
          <w:numId w:val="1"/>
        </w:numPr>
        <w:ind w:left="714" w:hanging="357"/>
        <w:jc w:val="both"/>
        <w:spacing w:after="120" w:line="240" w:lineRule="auto"/>
        <w:rPr>
          <w:rFonts w:ascii="Times New Roman" w:hAnsi="Times New Roman" w:eastAsia="Geneva" w:cs="Times New Roman"/>
          <w:b/>
          <w:sz w:val="26"/>
          <w:szCs w:val="26"/>
        </w:rPr>
      </w:pPr>
      <w:r>
        <w:rPr>
          <w:rFonts w:ascii="Times New Roman" w:hAnsi="Times New Roman" w:eastAsia="Geneva" w:cs="Times New Roman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Geneva" w:cs="Times New Roman"/>
          <w:b/>
          <w:sz w:val="26"/>
          <w:szCs w:val="26"/>
        </w:rPr>
      </w:r>
      <w:r>
        <w:rPr>
          <w:rFonts w:ascii="Times New Roman" w:hAnsi="Times New Roman" w:eastAsia="Geneva" w:cs="Times New Roman"/>
          <w:b/>
          <w:sz w:val="26"/>
          <w:szCs w:val="26"/>
        </w:rPr>
      </w:r>
    </w:p>
    <w:tbl>
      <w:tblPr>
        <w:tblStyle w:val="843"/>
        <w:tblW w:w="5000" w:type="pct"/>
        <w:tblLook w:val="04A0" w:firstRow="1" w:lastRow="0" w:firstColumn="1" w:lastColumn="0" w:noHBand="0" w:noVBand="1"/>
      </w:tblPr>
      <w:tblGrid>
        <w:gridCol w:w="647"/>
        <w:gridCol w:w="3364"/>
        <w:gridCol w:w="5334"/>
      </w:tblGrid>
      <w:tr>
        <w:tblPrEx/>
        <w:trPr/>
        <w:tc>
          <w:tcPr>
            <w:tcW w:w="346" w:type="pct"/>
            <w:textDirection w:val="lrTb"/>
            <w:noWrap w:val="false"/>
          </w:tcPr>
          <w:p>
            <w:pPr>
              <w:contextualSpacing/>
              <w:spacing w:before="120"/>
              <w:rPr>
                <w:rFonts w:eastAsia="Geneva"/>
                <w:sz w:val="22"/>
                <w:szCs w:val="22"/>
              </w:rPr>
            </w:pPr>
            <w:r>
              <w:rPr>
                <w:rFonts w:eastAsia="Geneva"/>
                <w:sz w:val="22"/>
                <w:szCs w:val="22"/>
              </w:rPr>
              <w:t xml:space="preserve">№ п/п</w:t>
            </w:r>
            <w:r>
              <w:rPr>
                <w:rFonts w:eastAsia="Geneva"/>
                <w:sz w:val="22"/>
                <w:szCs w:val="22"/>
              </w:rPr>
            </w:r>
            <w:r>
              <w:rPr>
                <w:rFonts w:eastAsia="Geneva"/>
                <w:sz w:val="22"/>
                <w:szCs w:val="22"/>
              </w:rPr>
            </w:r>
          </w:p>
        </w:tc>
        <w:tc>
          <w:tcPr>
            <w:tcW w:w="1800" w:type="pct"/>
            <w:textDirection w:val="lrTb"/>
            <w:noWrap w:val="false"/>
          </w:tcPr>
          <w:p>
            <w:pPr>
              <w:contextualSpacing/>
              <w:spacing w:before="120"/>
              <w:rPr>
                <w:rFonts w:eastAsia="Geneva"/>
                <w:sz w:val="22"/>
                <w:szCs w:val="22"/>
              </w:rPr>
            </w:pPr>
            <w:r>
              <w:rPr>
                <w:rFonts w:eastAsia="Geneva"/>
                <w:sz w:val="22"/>
                <w:szCs w:val="22"/>
              </w:rPr>
              <w:t xml:space="preserve">Наименование</w:t>
            </w:r>
            <w:r>
              <w:rPr>
                <w:rFonts w:eastAsia="Geneva"/>
                <w:sz w:val="22"/>
                <w:szCs w:val="22"/>
              </w:rPr>
            </w:r>
            <w:r>
              <w:rPr>
                <w:rFonts w:eastAsia="Geneva"/>
                <w:sz w:val="22"/>
                <w:szCs w:val="22"/>
              </w:rPr>
            </w:r>
          </w:p>
        </w:tc>
        <w:tc>
          <w:tcPr>
            <w:tcW w:w="2853" w:type="pct"/>
            <w:textDirection w:val="lrTb"/>
            <w:noWrap w:val="false"/>
          </w:tcPr>
          <w:p>
            <w:pPr>
              <w:contextualSpacing/>
              <w:spacing w:before="120"/>
              <w:rPr>
                <w:rFonts w:eastAsia="Geneva"/>
                <w:sz w:val="22"/>
                <w:szCs w:val="22"/>
              </w:rPr>
            </w:pPr>
            <w:r>
              <w:rPr>
                <w:rFonts w:eastAsia="Geneva"/>
                <w:sz w:val="22"/>
                <w:szCs w:val="22"/>
              </w:rPr>
              <w:t xml:space="preserve">Информация по лоту</w:t>
            </w:r>
            <w:r>
              <w:rPr>
                <w:rFonts w:eastAsia="Geneva"/>
                <w:sz w:val="22"/>
                <w:szCs w:val="22"/>
              </w:rPr>
            </w:r>
            <w:r>
              <w:rPr>
                <w:rFonts w:eastAsia="Geneva"/>
                <w:sz w:val="22"/>
                <w:szCs w:val="22"/>
              </w:rPr>
            </w:r>
          </w:p>
        </w:tc>
      </w:tr>
      <w:tr>
        <w:tblPrEx/>
        <w:trPr/>
        <w:tc>
          <w:tcPr>
            <w:tcW w:w="346" w:type="pct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jc w:val="both"/>
              <w:spacing w:after="120"/>
              <w:rPr>
                <w:rFonts w:eastAsia="Geneva"/>
                <w:sz w:val="22"/>
                <w:szCs w:val="22"/>
              </w:rPr>
            </w:pPr>
            <w:r>
              <w:rPr>
                <w:rFonts w:eastAsia="Geneva"/>
                <w:sz w:val="22"/>
                <w:szCs w:val="22"/>
              </w:rPr>
            </w:r>
            <w:r>
              <w:rPr>
                <w:rFonts w:eastAsia="Geneva"/>
                <w:sz w:val="22"/>
                <w:szCs w:val="22"/>
              </w:rPr>
            </w:r>
            <w:r>
              <w:rPr>
                <w:rFonts w:eastAsia="Geneva"/>
                <w:sz w:val="22"/>
                <w:szCs w:val="22"/>
              </w:rPr>
            </w:r>
          </w:p>
        </w:tc>
        <w:tc>
          <w:tcPr>
            <w:tcW w:w="1800" w:type="pct"/>
            <w:textDirection w:val="lrTb"/>
            <w:noWrap w:val="false"/>
          </w:tcPr>
          <w:p>
            <w:pPr>
              <w:contextualSpacing/>
              <w:spacing w:before="120"/>
              <w:rPr>
                <w:rFonts w:eastAsia="Geneva"/>
                <w:sz w:val="22"/>
                <w:szCs w:val="22"/>
              </w:rPr>
            </w:pPr>
            <w:r>
              <w:rPr>
                <w:rFonts w:eastAsia="Geneva"/>
                <w:sz w:val="22"/>
                <w:szCs w:val="22"/>
              </w:rPr>
              <w:t xml:space="preserve">Наименование лота</w:t>
            </w:r>
            <w:r>
              <w:rPr>
                <w:rFonts w:eastAsia="Geneva"/>
                <w:sz w:val="22"/>
                <w:szCs w:val="22"/>
              </w:rPr>
            </w:r>
            <w:r>
              <w:rPr>
                <w:rFonts w:eastAsia="Geneva"/>
                <w:sz w:val="22"/>
                <w:szCs w:val="22"/>
              </w:rPr>
            </w:r>
          </w:p>
        </w:tc>
        <w:tc>
          <w:tcPr>
            <w:tcW w:w="2853" w:type="pct"/>
            <w:textDirection w:val="lrTb"/>
            <w:noWrap w:val="false"/>
          </w:tcPr>
          <w:p>
            <w:pPr>
              <w:ind w:left="0" w:right="0" w:firstLine="0"/>
              <w:jc w:val="both"/>
              <w:spacing w:before="60" w:after="60" w:line="240" w:lineRule="auto"/>
            </w:pPr>
            <w:r>
              <w:rPr>
                <w:i/>
                <w:color w:val="auto"/>
                <w:sz w:val="22"/>
                <w:szCs w:val="22"/>
                <w:lang w:eastAsia="en-US"/>
              </w:rPr>
              <w:t xml:space="preserve">ОКПД 2 43.29.1 Выполнение строительно-монтажных работ по объекту: строительство площадки для хранения металлолома </w:t>
            </w:r>
            <w:r>
              <w:rPr>
                <w:i/>
                <w:color w:val="auto"/>
                <w:sz w:val="22"/>
                <w:szCs w:val="22"/>
                <w:lang w:eastAsia="en-US"/>
              </w:rPr>
              <w:t xml:space="preserve">на территории Комсомольской ТЭЦ-3 в рамках реализации инвестиционного проекта P_505-КТЭЦ3-20, г. Комсомольск-на Амуре</w:t>
            </w:r>
            <w:r>
              <w:rPr>
                <w:i/>
                <w:color w:val="auto"/>
                <w:sz w:val="22"/>
                <w:szCs w:val="22"/>
                <w:lang w:eastAsia="en-US"/>
              </w:rPr>
            </w:r>
            <w:r/>
          </w:p>
        </w:tc>
      </w:tr>
      <w:tr>
        <w:tblPrEx/>
        <w:trPr/>
        <w:tc>
          <w:tcPr>
            <w:tcW w:w="346" w:type="pct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jc w:val="both"/>
              <w:spacing w:after="120"/>
              <w:rPr>
                <w:rFonts w:eastAsia="Geneva"/>
                <w:sz w:val="22"/>
                <w:szCs w:val="22"/>
              </w:rPr>
            </w:pPr>
            <w:r>
              <w:rPr>
                <w:rFonts w:eastAsia="Geneva"/>
                <w:sz w:val="22"/>
                <w:szCs w:val="22"/>
              </w:rPr>
            </w:r>
            <w:r>
              <w:rPr>
                <w:rFonts w:eastAsia="Geneva"/>
                <w:sz w:val="22"/>
                <w:szCs w:val="22"/>
              </w:rPr>
            </w:r>
            <w:r>
              <w:rPr>
                <w:rFonts w:eastAsia="Geneva"/>
                <w:sz w:val="22"/>
                <w:szCs w:val="22"/>
              </w:rPr>
            </w:r>
          </w:p>
        </w:tc>
        <w:tc>
          <w:tcPr>
            <w:tcW w:w="1800" w:type="pct"/>
            <w:textDirection w:val="lrTb"/>
            <w:noWrap w:val="false"/>
          </w:tcPr>
          <w:p>
            <w:pPr>
              <w:contextualSpacing/>
              <w:spacing w:before="120"/>
              <w:rPr>
                <w:rFonts w:eastAsia="Geneva"/>
                <w:sz w:val="22"/>
                <w:szCs w:val="22"/>
              </w:rPr>
            </w:pPr>
            <w:r>
              <w:rPr>
                <w:rFonts w:eastAsia="Geneva"/>
                <w:sz w:val="22"/>
                <w:szCs w:val="22"/>
              </w:rPr>
              <w:t xml:space="preserve">Номер лота</w:t>
            </w:r>
            <w:r>
              <w:rPr>
                <w:rFonts w:eastAsia="Geneva"/>
                <w:sz w:val="22"/>
                <w:szCs w:val="22"/>
              </w:rPr>
            </w:r>
            <w:r>
              <w:rPr>
                <w:rFonts w:eastAsia="Geneva"/>
                <w:sz w:val="22"/>
                <w:szCs w:val="22"/>
              </w:rPr>
            </w:r>
          </w:p>
        </w:tc>
        <w:tc>
          <w:tcPr>
            <w:tcW w:w="2853" w:type="pct"/>
            <w:textDirection w:val="lrTb"/>
            <w:noWrap w:val="false"/>
          </w:tcPr>
          <w:p>
            <w:pPr>
              <w:ind w:left="0" w:right="0" w:firstLine="0"/>
              <w:jc w:val="both"/>
              <w:spacing w:before="60" w:after="60" w:line="240" w:lineRule="auto"/>
              <w:rPr>
                <w:i/>
                <w:color w:val="auto"/>
                <w:sz w:val="22"/>
                <w:szCs w:val="22"/>
              </w:rPr>
            </w:pPr>
            <w:r>
              <w:rPr>
                <w:i/>
                <w:color w:val="auto"/>
                <w:sz w:val="22"/>
                <w:szCs w:val="22"/>
                <w:lang w:eastAsia="en-US"/>
              </w:rPr>
            </w:r>
            <w:r>
              <w:rPr>
                <w:i/>
                <w:color w:val="auto"/>
                <w:sz w:val="22"/>
                <w:szCs w:val="22"/>
                <w:lang w:eastAsia="en-US"/>
              </w:rPr>
              <w:t xml:space="preserve">22130008-ТПИР ОБСЛ-2026-ДГК-КТЭЦ3</w:t>
            </w:r>
            <w:r>
              <w:rPr>
                <w:i/>
                <w:color w:val="auto"/>
                <w:sz w:val="22"/>
                <w:szCs w:val="22"/>
              </w:rPr>
            </w:r>
            <w:r>
              <w:rPr>
                <w:i/>
                <w:color w:val="auto"/>
                <w:sz w:val="22"/>
                <w:szCs w:val="22"/>
              </w:rPr>
            </w:r>
          </w:p>
        </w:tc>
      </w:tr>
      <w:tr>
        <w:tblPrEx/>
        <w:trPr/>
        <w:tc>
          <w:tcPr>
            <w:tcW w:w="346" w:type="pct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jc w:val="both"/>
              <w:spacing w:after="120"/>
              <w:rPr>
                <w:rFonts w:eastAsia="Geneva"/>
                <w:sz w:val="22"/>
                <w:szCs w:val="22"/>
              </w:rPr>
            </w:pPr>
            <w:r>
              <w:rPr>
                <w:rFonts w:eastAsia="Geneva"/>
                <w:sz w:val="22"/>
                <w:szCs w:val="22"/>
              </w:rPr>
            </w:r>
            <w:r>
              <w:rPr>
                <w:rFonts w:eastAsia="Geneva"/>
                <w:sz w:val="22"/>
                <w:szCs w:val="22"/>
              </w:rPr>
            </w:r>
            <w:r>
              <w:rPr>
                <w:rFonts w:eastAsia="Geneva"/>
                <w:sz w:val="22"/>
                <w:szCs w:val="22"/>
              </w:rPr>
            </w:r>
          </w:p>
        </w:tc>
        <w:tc>
          <w:tcPr>
            <w:tcW w:w="1800" w:type="pct"/>
            <w:textDirection w:val="lrTb"/>
            <w:noWrap w:val="false"/>
          </w:tcPr>
          <w:p>
            <w:pPr>
              <w:contextualSpacing/>
              <w:spacing w:before="120"/>
              <w:rPr>
                <w:rFonts w:eastAsia="Geneva"/>
                <w:sz w:val="22"/>
                <w:szCs w:val="22"/>
              </w:rPr>
            </w:pPr>
            <w:r>
              <w:rPr>
                <w:rFonts w:eastAsia="Geneva"/>
                <w:sz w:val="22"/>
                <w:szCs w:val="22"/>
              </w:rPr>
              <w:t xml:space="preserve">НМЦ</w:t>
            </w:r>
            <w:r>
              <w:rPr>
                <w:rFonts w:eastAsia="Geneva"/>
                <w:sz w:val="22"/>
                <w:szCs w:val="22"/>
              </w:rPr>
            </w:r>
            <w:r>
              <w:rPr>
                <w:rFonts w:eastAsia="Geneva"/>
                <w:sz w:val="22"/>
                <w:szCs w:val="22"/>
              </w:rPr>
            </w:r>
          </w:p>
        </w:tc>
        <w:tc>
          <w:tcPr>
            <w:tcW w:w="2853" w:type="pct"/>
            <w:textDirection w:val="lrTb"/>
            <w:noWrap w:val="false"/>
          </w:tcPr>
          <w:p>
            <w:pPr>
              <w:rPr>
                <w:bCs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iCs/>
                <w:color w:val="ff0000"/>
                <w:sz w:val="22"/>
                <w:szCs w:val="22"/>
              </w:rPr>
            </w:r>
            <w:r>
              <w:rPr>
                <w:i/>
                <w:iCs/>
                <w:color w:val="000000" w:themeColor="text1"/>
                <w:sz w:val="22"/>
                <w:szCs w:val="22"/>
              </w:rPr>
              <w:t xml:space="preserve">27</w:t>
            </w:r>
            <w:r>
              <w:rPr>
                <w:i/>
                <w:iCs/>
                <w:color w:val="000000" w:themeColor="text1"/>
                <w:sz w:val="22"/>
                <w:szCs w:val="22"/>
              </w:rPr>
              <w:t xml:space="preserve"> 833 394,20</w:t>
            </w:r>
            <w:r>
              <w:rPr>
                <w:i/>
                <w:iCs/>
                <w:color w:val="000000" w:themeColor="text1"/>
                <w:sz w:val="22"/>
                <w:szCs w:val="22"/>
              </w:rPr>
              <w:t xml:space="preserve"> руб. без НДС</w:t>
            </w:r>
            <w:r>
              <w:rPr>
                <w:bCs/>
                <w:i/>
                <w:color w:val="000000" w:themeColor="text1"/>
                <w:sz w:val="22"/>
                <w:szCs w:val="22"/>
              </w:rPr>
            </w:r>
            <w:r>
              <w:rPr>
                <w:bCs/>
                <w:i/>
                <w:color w:val="000000" w:themeColor="text1"/>
                <w:sz w:val="22"/>
                <w:szCs w:val="22"/>
              </w:rPr>
            </w:r>
          </w:p>
        </w:tc>
      </w:tr>
    </w:tbl>
    <w:p>
      <w:pPr>
        <w:numPr>
          <w:ilvl w:val="0"/>
          <w:numId w:val="1"/>
        </w:numPr>
        <w:ind w:left="714" w:hanging="357"/>
        <w:jc w:val="both"/>
        <w:spacing w:before="120" w:after="120" w:line="240" w:lineRule="auto"/>
        <w:rPr>
          <w:rFonts w:ascii="Times New Roman" w:hAnsi="Times New Roman" w:eastAsia="Geneva" w:cs="Times New Roman"/>
          <w:b/>
          <w:sz w:val="26"/>
          <w:szCs w:val="26"/>
        </w:rPr>
      </w:pPr>
      <w:r>
        <w:rPr>
          <w:rFonts w:ascii="Times New Roman" w:hAnsi="Times New Roman" w:eastAsia="Geneva" w:cs="Times New Roman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Geneva" w:cs="Times New Roman"/>
          <w:b/>
          <w:sz w:val="26"/>
          <w:szCs w:val="26"/>
        </w:rPr>
      </w:r>
      <w:r>
        <w:rPr>
          <w:rFonts w:ascii="Times New Roman" w:hAnsi="Times New Roman" w:eastAsia="Geneva" w:cs="Times New Roman"/>
          <w:b/>
          <w:sz w:val="26"/>
          <w:szCs w:val="26"/>
        </w:rPr>
      </w:r>
    </w:p>
    <w:p>
      <w:pPr>
        <w:contextualSpacing/>
        <w:spacing w:after="0" w:line="240" w:lineRule="auto"/>
        <w:rPr>
          <w:rFonts w:ascii="Times New Roman" w:hAnsi="Times New Roman" w:eastAsia="Geneva" w:cs="Times New Roman"/>
          <w:b/>
          <w:bCs/>
          <w:sz w:val="26"/>
          <w:szCs w:val="26"/>
        </w:rPr>
      </w:pPr>
      <w:r>
        <w:rPr>
          <w:rFonts w:ascii="Times New Roman" w:hAnsi="Times New Roman" w:eastAsia="Geneva" w:cs="Times New Roman"/>
          <w:b/>
          <w:bCs/>
          <w:sz w:val="26"/>
          <w:szCs w:val="26"/>
        </w:rPr>
        <w:t xml:space="preserve">Ресурсно-индексный метод</w:t>
      </w:r>
      <w:r>
        <w:rPr>
          <w:rFonts w:ascii="Times New Roman" w:hAnsi="Times New Roman" w:eastAsia="Geneva" w:cs="Times New Roman"/>
          <w:b/>
          <w:bCs/>
          <w:sz w:val="26"/>
          <w:szCs w:val="26"/>
        </w:rPr>
      </w:r>
      <w:r>
        <w:rPr>
          <w:rFonts w:ascii="Times New Roman" w:hAnsi="Times New Roman" w:eastAsia="Geneva" w:cs="Times New Roman"/>
          <w:b/>
          <w:bCs/>
          <w:sz w:val="26"/>
          <w:szCs w:val="26"/>
        </w:rPr>
      </w:r>
    </w:p>
    <w:p>
      <w:pPr>
        <w:contextualSpacing/>
        <w:spacing w:after="0" w:line="240" w:lineRule="auto"/>
        <w:rPr>
          <w:rFonts w:ascii="Times New Roman" w:hAnsi="Times New Roman" w:eastAsia="Geneva" w:cs="Times New Roman"/>
          <w:color w:val="000000" w:themeColor="text1"/>
          <w:sz w:val="26"/>
          <w:szCs w:val="26"/>
        </w:rPr>
      </w:pPr>
      <w:r>
        <w:rPr>
          <w:rFonts w:ascii="Times New Roman" w:hAnsi="Times New Roman" w:eastAsia="Geneva" w:cs="Times New Roman"/>
          <w:sz w:val="26"/>
          <w:szCs w:val="26"/>
        </w:rPr>
        <w:t xml:space="preserve">Обоснование расчета НМЦ: прилагаемый Сводный сметный расче</w:t>
      </w:r>
      <w:r>
        <w:rPr>
          <w:rFonts w:ascii="Times New Roman" w:hAnsi="Times New Roman" w:eastAsia="Geneva" w:cs="Times New Roman"/>
          <w:color w:val="000000" w:themeColor="text1"/>
          <w:sz w:val="26"/>
          <w:szCs w:val="26"/>
        </w:rPr>
        <w:t xml:space="preserve">т </w:t>
      </w:r>
      <w:r>
        <w:rPr>
          <w:rFonts w:ascii="Times New Roman" w:hAnsi="Times New Roman" w:eastAsia="Geneva" w:cs="Times New Roman"/>
          <w:color w:val="000000" w:themeColor="text1"/>
          <w:sz w:val="26"/>
          <w:szCs w:val="26"/>
        </w:rPr>
        <w:t xml:space="preserve">(Приложение № 4 к Техническим требованиям).</w:t>
      </w:r>
      <w:r>
        <w:rPr>
          <w:rFonts w:ascii="Times New Roman" w:hAnsi="Times New Roman" w:eastAsia="Geneva" w:cs="Times New Roman"/>
          <w:color w:val="000000" w:themeColor="text1"/>
          <w:sz w:val="26"/>
          <w:szCs w:val="26"/>
        </w:rPr>
      </w:r>
      <w:r>
        <w:rPr>
          <w:rFonts w:ascii="Times New Roman" w:hAnsi="Times New Roman" w:eastAsia="Geneva" w:cs="Times New Roman"/>
          <w:color w:val="000000" w:themeColor="text1"/>
          <w:sz w:val="26"/>
          <w:szCs w:val="26"/>
        </w:rPr>
      </w:r>
    </w:p>
    <w:p>
      <w:pPr>
        <w:contextualSpacing/>
        <w:spacing w:after="0" w:line="240" w:lineRule="auto"/>
        <w:rPr>
          <w:rFonts w:ascii="Times New Roman" w:hAnsi="Times New Roman" w:eastAsia="Geneva" w:cs="Times New Roman"/>
          <w:sz w:val="26"/>
          <w:szCs w:val="26"/>
        </w:rPr>
      </w:pPr>
      <w:r>
        <w:rPr>
          <w:rFonts w:ascii="Times New Roman" w:hAnsi="Times New Roman" w:eastAsia="Geneva" w:cs="Times New Roman"/>
          <w:sz w:val="26"/>
          <w:szCs w:val="26"/>
        </w:rPr>
      </w:r>
      <w:r>
        <w:rPr>
          <w:rFonts w:ascii="Times New Roman" w:hAnsi="Times New Roman" w:eastAsia="Geneva" w:cs="Times New Roman"/>
          <w:sz w:val="26"/>
          <w:szCs w:val="26"/>
        </w:rPr>
      </w:r>
      <w:r>
        <w:rPr>
          <w:rFonts w:ascii="Times New Roman" w:hAnsi="Times New Roman" w:eastAsia="Geneva" w:cs="Times New Roman"/>
          <w:sz w:val="26"/>
          <w:szCs w:val="26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neva">
    <w:panose1 w:val="02000603000000000000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5"/>
    <w:next w:val="835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basedOn w:val="836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5"/>
    <w:next w:val="835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basedOn w:val="836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5"/>
    <w:next w:val="835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basedOn w:val="836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5"/>
    <w:next w:val="835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basedOn w:val="836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5"/>
    <w:next w:val="835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36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5"/>
    <w:next w:val="835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36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5"/>
    <w:next w:val="835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36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5"/>
    <w:next w:val="835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36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5"/>
    <w:next w:val="835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36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5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5"/>
    <w:next w:val="835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basedOn w:val="836"/>
    <w:link w:val="680"/>
    <w:uiPriority w:val="10"/>
    <w:rPr>
      <w:sz w:val="48"/>
      <w:szCs w:val="48"/>
    </w:rPr>
  </w:style>
  <w:style w:type="paragraph" w:styleId="682">
    <w:name w:val="Subtitle"/>
    <w:basedOn w:val="835"/>
    <w:next w:val="835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basedOn w:val="836"/>
    <w:link w:val="682"/>
    <w:uiPriority w:val="11"/>
    <w:rPr>
      <w:sz w:val="24"/>
      <w:szCs w:val="24"/>
    </w:rPr>
  </w:style>
  <w:style w:type="paragraph" w:styleId="684">
    <w:name w:val="Quote"/>
    <w:basedOn w:val="835"/>
    <w:next w:val="835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5"/>
    <w:next w:val="835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5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basedOn w:val="836"/>
    <w:link w:val="688"/>
    <w:uiPriority w:val="99"/>
  </w:style>
  <w:style w:type="paragraph" w:styleId="690">
    <w:name w:val="Footer"/>
    <w:basedOn w:val="835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basedOn w:val="836"/>
    <w:link w:val="690"/>
    <w:uiPriority w:val="99"/>
  </w:style>
  <w:style w:type="paragraph" w:styleId="692">
    <w:name w:val="Caption"/>
    <w:basedOn w:val="835"/>
    <w:next w:val="835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836"/>
    <w:link w:val="692"/>
    <w:uiPriority w:val="35"/>
    <w:rPr>
      <w:b/>
      <w:bCs/>
      <w:color w:val="4f81bd" w:themeColor="accent1"/>
      <w:sz w:val="18"/>
      <w:szCs w:val="18"/>
    </w:rPr>
  </w:style>
  <w:style w:type="table" w:styleId="694">
    <w:name w:val="Table Grid Light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Plain Table 1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2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>
    <w:name w:val="Plain Table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Plain Table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0">
    <w:name w:val="Grid Table 1 Light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4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>
    <w:name w:val="Grid Table 4 - Accent 1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3">
    <w:name w:val="Grid Table 4 - Accent 2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4">
    <w:name w:val="Grid Table 4 - Accent 3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5">
    <w:name w:val="Grid Table 4 - Accent 4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6">
    <w:name w:val="Grid Table 4 - Accent 5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7">
    <w:name w:val="Grid Table 4 - Accent 6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8">
    <w:name w:val="Grid Table 5 Dark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5">
    <w:name w:val="Grid Table 6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6">
    <w:name w:val="Grid Table 6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7">
    <w:name w:val="Grid Table 6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8">
    <w:name w:val="Grid Table 6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9">
    <w:name w:val="Grid Table 6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0">
    <w:name w:val="Grid Table 6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6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7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7">
    <w:name w:val="List Table 2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8">
    <w:name w:val="List Table 2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9">
    <w:name w:val="List Table 2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0">
    <w:name w:val="List Table 2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1">
    <w:name w:val="List Table 2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2">
    <w:name w:val="List Table 2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3">
    <w:name w:val="List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5 Dark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6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5">
    <w:name w:val="List Table 6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6">
    <w:name w:val="List Table 6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7">
    <w:name w:val="List Table 6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8">
    <w:name w:val="List Table 6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9">
    <w:name w:val="List Table 6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0">
    <w:name w:val="List Table 6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1">
    <w:name w:val="List Table 7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2">
    <w:name w:val="List Table 7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3">
    <w:name w:val="List Table 7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4">
    <w:name w:val="List Table 7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5">
    <w:name w:val="List Table 7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6">
    <w:name w:val="List Table 7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7">
    <w:name w:val="List Table 7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8">
    <w:name w:val="Lined - Accent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Lined - Accent 1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Lined - Accent 2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Lined - Accent 3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Lined - Accent 4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Lined - Accent 5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Lined - Accent 6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 &amp; Lined - Accent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Bordered &amp; Lined - Accent 1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7">
    <w:name w:val="Bordered &amp; Lined - Accent 2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8">
    <w:name w:val="Bordered &amp; Lined - Accent 3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9">
    <w:name w:val="Bordered &amp; Lined - Accent 4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0">
    <w:name w:val="Bordered &amp; Lined - Accent 5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1">
    <w:name w:val="Bordered &amp; Lined - Accent 6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2">
    <w:name w:val="Bordered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3">
    <w:name w:val="Bordered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4">
    <w:name w:val="Bordered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5">
    <w:name w:val="Bordered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6">
    <w:name w:val="Bordered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7">
    <w:name w:val="Bordered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8">
    <w:name w:val="Bordered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9">
    <w:name w:val="Hyperlink"/>
    <w:uiPriority w:val="99"/>
    <w:unhideWhenUsed/>
    <w:rPr>
      <w:color w:val="0000ff" w:themeColor="hyperlink"/>
      <w:u w:val="single"/>
    </w:rPr>
  </w:style>
  <w:style w:type="character" w:styleId="820">
    <w:name w:val="Footnote Text Char"/>
    <w:link w:val="840"/>
    <w:uiPriority w:val="99"/>
    <w:rPr>
      <w:sz w:val="18"/>
    </w:rPr>
  </w:style>
  <w:style w:type="paragraph" w:styleId="821">
    <w:name w:val="endnote text"/>
    <w:basedOn w:val="835"/>
    <w:link w:val="822"/>
    <w:uiPriority w:val="99"/>
    <w:semiHidden/>
    <w:unhideWhenUsed/>
    <w:pPr>
      <w:spacing w:after="0" w:line="240" w:lineRule="auto"/>
    </w:pPr>
    <w:rPr>
      <w:sz w:val="20"/>
    </w:rPr>
  </w:style>
  <w:style w:type="character" w:styleId="822">
    <w:name w:val="Endnote Text Char"/>
    <w:link w:val="821"/>
    <w:uiPriority w:val="99"/>
    <w:rPr>
      <w:sz w:val="20"/>
    </w:rPr>
  </w:style>
  <w:style w:type="character" w:styleId="823">
    <w:name w:val="endnote reference"/>
    <w:basedOn w:val="836"/>
    <w:uiPriority w:val="99"/>
    <w:semiHidden/>
    <w:unhideWhenUsed/>
    <w:rPr>
      <w:vertAlign w:val="superscript"/>
    </w:rPr>
  </w:style>
  <w:style w:type="paragraph" w:styleId="824">
    <w:name w:val="toc 1"/>
    <w:basedOn w:val="835"/>
    <w:next w:val="835"/>
    <w:uiPriority w:val="39"/>
    <w:unhideWhenUsed/>
    <w:pPr>
      <w:ind w:left="0" w:right="0" w:firstLine="0"/>
      <w:spacing w:after="57"/>
    </w:pPr>
  </w:style>
  <w:style w:type="paragraph" w:styleId="825">
    <w:name w:val="toc 2"/>
    <w:basedOn w:val="835"/>
    <w:next w:val="835"/>
    <w:uiPriority w:val="39"/>
    <w:unhideWhenUsed/>
    <w:pPr>
      <w:ind w:left="283" w:right="0" w:firstLine="0"/>
      <w:spacing w:after="57"/>
    </w:pPr>
  </w:style>
  <w:style w:type="paragraph" w:styleId="826">
    <w:name w:val="toc 3"/>
    <w:basedOn w:val="835"/>
    <w:next w:val="835"/>
    <w:uiPriority w:val="39"/>
    <w:unhideWhenUsed/>
    <w:pPr>
      <w:ind w:left="567" w:right="0" w:firstLine="0"/>
      <w:spacing w:after="57"/>
    </w:pPr>
  </w:style>
  <w:style w:type="paragraph" w:styleId="827">
    <w:name w:val="toc 4"/>
    <w:basedOn w:val="835"/>
    <w:next w:val="835"/>
    <w:uiPriority w:val="39"/>
    <w:unhideWhenUsed/>
    <w:pPr>
      <w:ind w:left="850" w:right="0" w:firstLine="0"/>
      <w:spacing w:after="57"/>
    </w:pPr>
  </w:style>
  <w:style w:type="paragraph" w:styleId="828">
    <w:name w:val="toc 5"/>
    <w:basedOn w:val="835"/>
    <w:next w:val="835"/>
    <w:uiPriority w:val="39"/>
    <w:unhideWhenUsed/>
    <w:pPr>
      <w:ind w:left="1134" w:right="0" w:firstLine="0"/>
      <w:spacing w:after="57"/>
    </w:pPr>
  </w:style>
  <w:style w:type="paragraph" w:styleId="829">
    <w:name w:val="toc 6"/>
    <w:basedOn w:val="835"/>
    <w:next w:val="835"/>
    <w:uiPriority w:val="39"/>
    <w:unhideWhenUsed/>
    <w:pPr>
      <w:ind w:left="1417" w:right="0" w:firstLine="0"/>
      <w:spacing w:after="57"/>
    </w:pPr>
  </w:style>
  <w:style w:type="paragraph" w:styleId="830">
    <w:name w:val="toc 7"/>
    <w:basedOn w:val="835"/>
    <w:next w:val="835"/>
    <w:uiPriority w:val="39"/>
    <w:unhideWhenUsed/>
    <w:pPr>
      <w:ind w:left="1701" w:right="0" w:firstLine="0"/>
      <w:spacing w:after="57"/>
    </w:pPr>
  </w:style>
  <w:style w:type="paragraph" w:styleId="831">
    <w:name w:val="toc 8"/>
    <w:basedOn w:val="835"/>
    <w:next w:val="835"/>
    <w:uiPriority w:val="39"/>
    <w:unhideWhenUsed/>
    <w:pPr>
      <w:ind w:left="1984" w:right="0" w:firstLine="0"/>
      <w:spacing w:after="57"/>
    </w:pPr>
  </w:style>
  <w:style w:type="paragraph" w:styleId="832">
    <w:name w:val="toc 9"/>
    <w:basedOn w:val="835"/>
    <w:next w:val="835"/>
    <w:uiPriority w:val="39"/>
    <w:unhideWhenUsed/>
    <w:pPr>
      <w:ind w:left="2268" w:right="0" w:firstLine="0"/>
      <w:spacing w:after="57"/>
    </w:pPr>
  </w:style>
  <w:style w:type="paragraph" w:styleId="833">
    <w:name w:val="TOC Heading"/>
    <w:uiPriority w:val="39"/>
    <w:unhideWhenUsed/>
  </w:style>
  <w:style w:type="paragraph" w:styleId="834">
    <w:name w:val="table of figures"/>
    <w:basedOn w:val="835"/>
    <w:next w:val="835"/>
    <w:uiPriority w:val="99"/>
    <w:unhideWhenUsed/>
    <w:pPr>
      <w:spacing w:after="0" w:afterAutospacing="0"/>
    </w:pPr>
  </w:style>
  <w:style w:type="paragraph" w:styleId="835" w:default="1">
    <w:name w:val="Normal"/>
    <w:qFormat/>
  </w:style>
  <w:style w:type="character" w:styleId="836" w:default="1">
    <w:name w:val="Default Paragraph Font"/>
    <w:uiPriority w:val="1"/>
    <w:semiHidden/>
    <w:unhideWhenUsed/>
  </w:style>
  <w:style w:type="table" w:styleId="83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8" w:default="1">
    <w:name w:val="No List"/>
    <w:uiPriority w:val="99"/>
    <w:semiHidden/>
    <w:unhideWhenUsed/>
  </w:style>
  <w:style w:type="character" w:styleId="839">
    <w:name w:val="footnote reference"/>
    <w:uiPriority w:val="99"/>
    <w:rPr>
      <w:vertAlign w:val="superscript"/>
    </w:rPr>
  </w:style>
  <w:style w:type="paragraph" w:styleId="840">
    <w:name w:val="footnote text"/>
    <w:basedOn w:val="835"/>
    <w:link w:val="841"/>
    <w:uiPriority w:val="99"/>
    <w:pPr>
      <w:ind w:firstLine="567"/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41" w:customStyle="1">
    <w:name w:val="Текст сноски Знак"/>
    <w:basedOn w:val="836"/>
    <w:link w:val="840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table" w:styleId="842">
    <w:name w:val="Table Grid"/>
    <w:basedOn w:val="837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43" w:customStyle="1">
    <w:name w:val="Сетка таблицы1"/>
    <w:basedOn w:val="837"/>
    <w:next w:val="842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Евстратенко Анна Валериевна</dc:creator>
  <cp:keywords/>
  <dc:description/>
  <cp:lastModifiedBy>kuzmischeva_iv</cp:lastModifiedBy>
  <cp:revision>10</cp:revision>
  <dcterms:created xsi:type="dcterms:W3CDTF">2023-09-07T22:59:00Z</dcterms:created>
  <dcterms:modified xsi:type="dcterms:W3CDTF">2026-02-18T04:18:15Z</dcterms:modified>
</cp:coreProperties>
</file>